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59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</w:t>
      </w:r>
      <w:r>
        <w:rPr>
          <w:rFonts w:ascii="Times New Roman" w:eastAsia="Times New Roman" w:hAnsi="Times New Roman" w:cs="Times New Roman"/>
          <w:sz w:val="28"/>
          <w:szCs w:val="28"/>
        </w:rPr>
        <w:t>2944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2608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spacing w:before="0" w:after="0" w:line="259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УИД № </w:t>
      </w:r>
      <w:r>
        <w:rPr>
          <w:rFonts w:ascii="Times New Roman" w:eastAsia="Times New Roman" w:hAnsi="Times New Roman" w:cs="Times New Roman"/>
          <w:sz w:val="28"/>
          <w:szCs w:val="28"/>
        </w:rPr>
        <w:t>86MS0063-01-2025-005003-92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прекращении производства по делу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07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Омельченко Т.Р.,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упрощенного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-Югр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Толеевой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Алине </w:t>
      </w:r>
      <w:r>
        <w:rPr>
          <w:rFonts w:ascii="Times New Roman" w:eastAsia="Times New Roman" w:hAnsi="Times New Roman" w:cs="Times New Roman"/>
          <w:sz w:val="28"/>
          <w:szCs w:val="28"/>
        </w:rPr>
        <w:t>Норбековне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ст. 232.4 ГПК РФ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определил: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Принять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едерации по Ханты-Мансийскому автономному округу-Югре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отказ от иска.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гражданскому делу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едерации по Ханты-Мансийскому автономному округу-Югре к </w:t>
      </w:r>
      <w:r>
        <w:rPr>
          <w:rFonts w:ascii="Times New Roman" w:eastAsia="Times New Roman" w:hAnsi="Times New Roman" w:cs="Times New Roman"/>
          <w:sz w:val="28"/>
          <w:szCs w:val="28"/>
        </w:rPr>
        <w:t>Толеевой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Алине </w:t>
      </w:r>
      <w:r>
        <w:rPr>
          <w:rFonts w:ascii="Times New Roman" w:eastAsia="Times New Roman" w:hAnsi="Times New Roman" w:cs="Times New Roman"/>
          <w:sz w:val="28"/>
          <w:szCs w:val="28"/>
        </w:rPr>
        <w:t>Норбековне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заявлению лиц, участвующих в деле, их представителей или в случае подачи частной жалобы по делу, рассматриваемому в порядке упрощенного производства, суд составляет мотивированное определение.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 о составлении мотивированного определения может быть подано в течение пяти дней со дня подписания резолютивной части определения суда по делу, рассмотренному в порядке упрощенного производства.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определение может быть подана частная жалоба в Сургутский городской суд Ханты-Мансийского автономного округа – Югры в течение пятнадцати 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со дня его принятия, а случае составления мотивированного определения суда по заявлению лиц, участвующих в деле, их представителей – со дня принятия определения в окончательной форме.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октября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</w:rPr>
        <w:t>2944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2608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